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C0" w:rsidRDefault="004B304B" w:rsidP="00EC4BC0">
      <w:pPr>
        <w:autoSpaceDE w:val="0"/>
        <w:autoSpaceDN w:val="0"/>
        <w:adjustRightInd w:val="0"/>
        <w:jc w:val="center"/>
      </w:pPr>
      <w:r>
        <w:rPr>
          <w:rFonts w:ascii="Calibri" w:hAnsi="Calibri" w:cs="CartoGothicStd-Book"/>
          <w:noProof/>
          <w:kern w:val="0"/>
          <w:sz w:val="40"/>
          <w:szCs w:val="56"/>
        </w:rPr>
        <w:drawing>
          <wp:anchor distT="0" distB="0" distL="114300" distR="114300" simplePos="0" relativeHeight="251659264" behindDoc="1" locked="0" layoutInCell="1" allowOverlap="1" wp14:anchorId="131A7BF4" wp14:editId="7A12077E">
            <wp:simplePos x="0" y="0"/>
            <wp:positionH relativeFrom="column">
              <wp:posOffset>47625</wp:posOffset>
            </wp:positionH>
            <wp:positionV relativeFrom="paragraph">
              <wp:posOffset>19050</wp:posOffset>
            </wp:positionV>
            <wp:extent cx="838200" cy="1143000"/>
            <wp:effectExtent l="0" t="0" r="0" b="0"/>
            <wp:wrapTopAndBottom/>
            <wp:docPr id="2" name="Picture 2" descr="Polywell-logo-20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well-logo-2006a"/>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BC0" w:rsidRPr="00C017AE" w:rsidRDefault="00EC4BC0" w:rsidP="00C017AE">
      <w:pPr>
        <w:pStyle w:val="Default"/>
        <w:jc w:val="center"/>
        <w:rPr>
          <w:color w:val="auto"/>
          <w:sz w:val="40"/>
          <w:szCs w:val="40"/>
        </w:rPr>
      </w:pPr>
      <w:r w:rsidRPr="00C017AE">
        <w:rPr>
          <w:color w:val="auto"/>
          <w:sz w:val="40"/>
          <w:szCs w:val="40"/>
        </w:rPr>
        <w:t>S</w:t>
      </w:r>
      <w:r w:rsidRPr="00C017AE">
        <w:rPr>
          <w:rFonts w:hint="eastAsia"/>
          <w:color w:val="auto"/>
          <w:sz w:val="40"/>
          <w:szCs w:val="40"/>
        </w:rPr>
        <w:t>ustainability at Polywell Computers</w:t>
      </w:r>
      <w:r>
        <w:rPr>
          <w:i/>
          <w:iCs/>
          <w:color w:val="auto"/>
          <w:sz w:val="20"/>
          <w:szCs w:val="20"/>
        </w:rPr>
        <w:t xml:space="preserve"> </w:t>
      </w:r>
    </w:p>
    <w:p w:rsidR="00EC4BC0" w:rsidRDefault="00EC4BC0" w:rsidP="00EC4BC0">
      <w:pPr>
        <w:pStyle w:val="Default"/>
        <w:rPr>
          <w:color w:val="auto"/>
          <w:sz w:val="48"/>
          <w:szCs w:val="48"/>
        </w:rPr>
      </w:pPr>
      <w:r>
        <w:rPr>
          <w:color w:val="auto"/>
          <w:sz w:val="48"/>
          <w:szCs w:val="48"/>
        </w:rPr>
        <w:t xml:space="preserve">Vision </w:t>
      </w:r>
    </w:p>
    <w:p w:rsidR="00EC4BC0" w:rsidRDefault="00EC4BC0" w:rsidP="00EC4BC0">
      <w:pPr>
        <w:pStyle w:val="Default"/>
        <w:rPr>
          <w:color w:val="auto"/>
          <w:sz w:val="22"/>
          <w:szCs w:val="22"/>
        </w:rPr>
      </w:pPr>
      <w:r>
        <w:rPr>
          <w:i/>
          <w:iCs/>
          <w:color w:val="auto"/>
          <w:sz w:val="22"/>
          <w:szCs w:val="22"/>
        </w:rPr>
        <w:t xml:space="preserve">We strive to </w:t>
      </w:r>
      <w:r w:rsidR="00C017AE">
        <w:rPr>
          <w:rFonts w:hint="eastAsia"/>
          <w:i/>
          <w:iCs/>
          <w:color w:val="auto"/>
          <w:sz w:val="22"/>
          <w:szCs w:val="22"/>
        </w:rPr>
        <w:t xml:space="preserve">maintain an eco-friendly workplace and manufacture products </w:t>
      </w:r>
      <w:r>
        <w:rPr>
          <w:i/>
          <w:iCs/>
          <w:color w:val="auto"/>
          <w:sz w:val="22"/>
          <w:szCs w:val="22"/>
        </w:rPr>
        <w:t xml:space="preserve">for a </w:t>
      </w:r>
      <w:r w:rsidR="00C017AE">
        <w:rPr>
          <w:rFonts w:hint="eastAsia"/>
          <w:i/>
          <w:iCs/>
          <w:color w:val="auto"/>
          <w:sz w:val="22"/>
          <w:szCs w:val="22"/>
        </w:rPr>
        <w:t>greener environment</w:t>
      </w:r>
      <w:r>
        <w:rPr>
          <w:i/>
          <w:iCs/>
          <w:color w:val="auto"/>
          <w:sz w:val="22"/>
          <w:szCs w:val="22"/>
        </w:rPr>
        <w:t xml:space="preserve">. </w:t>
      </w:r>
    </w:p>
    <w:p w:rsidR="00EC4BC0" w:rsidRDefault="00EC4BC0" w:rsidP="00EC4BC0">
      <w:pPr>
        <w:pStyle w:val="Default"/>
        <w:rPr>
          <w:color w:val="auto"/>
          <w:sz w:val="48"/>
          <w:szCs w:val="48"/>
        </w:rPr>
      </w:pPr>
      <w:r>
        <w:rPr>
          <w:color w:val="auto"/>
          <w:sz w:val="48"/>
          <w:szCs w:val="48"/>
        </w:rPr>
        <w:t xml:space="preserve">Principles </w:t>
      </w:r>
    </w:p>
    <w:p w:rsidR="00EC4BC0" w:rsidRDefault="00EC4BC0" w:rsidP="00EC4BC0">
      <w:pPr>
        <w:pStyle w:val="Default"/>
        <w:rPr>
          <w:color w:val="auto"/>
          <w:sz w:val="22"/>
          <w:szCs w:val="22"/>
        </w:rPr>
      </w:pPr>
      <w:r>
        <w:rPr>
          <w:i/>
          <w:iCs/>
          <w:color w:val="auto"/>
          <w:sz w:val="22"/>
          <w:szCs w:val="22"/>
        </w:rPr>
        <w:t xml:space="preserve">Our approach to business is guided by commitments to the following principles: Leadership, Inclusivity, Transparency, Integrity, Stewardship and Continuous Improvement. </w:t>
      </w:r>
    </w:p>
    <w:p w:rsidR="00EC4BC0" w:rsidRDefault="00EC4BC0" w:rsidP="00EC4BC0">
      <w:pPr>
        <w:pStyle w:val="Default"/>
        <w:rPr>
          <w:color w:val="auto"/>
          <w:sz w:val="48"/>
          <w:szCs w:val="48"/>
        </w:rPr>
      </w:pPr>
      <w:r>
        <w:rPr>
          <w:color w:val="auto"/>
          <w:sz w:val="48"/>
          <w:szCs w:val="48"/>
        </w:rPr>
        <w:t xml:space="preserve">Important Issues </w:t>
      </w:r>
    </w:p>
    <w:p w:rsidR="00EC4BC0" w:rsidRDefault="00EC4BC0" w:rsidP="00EC4BC0">
      <w:pPr>
        <w:pStyle w:val="Default"/>
        <w:rPr>
          <w:color w:val="auto"/>
          <w:sz w:val="22"/>
          <w:szCs w:val="22"/>
        </w:rPr>
      </w:pPr>
      <w:r>
        <w:rPr>
          <w:i/>
          <w:iCs/>
          <w:color w:val="auto"/>
          <w:sz w:val="22"/>
          <w:szCs w:val="22"/>
        </w:rPr>
        <w:t xml:space="preserve">Our business faces many challenges and opportunities. Due to their direct impact on us and our stakeholders we have prioritized the following issues that need to be addressed: </w:t>
      </w:r>
      <w:r w:rsidR="00C017AE">
        <w:rPr>
          <w:rFonts w:hint="eastAsia"/>
          <w:i/>
          <w:iCs/>
          <w:color w:val="auto"/>
          <w:sz w:val="22"/>
          <w:szCs w:val="22"/>
        </w:rPr>
        <w:t>W</w:t>
      </w:r>
      <w:r>
        <w:rPr>
          <w:i/>
          <w:iCs/>
          <w:color w:val="auto"/>
          <w:sz w:val="22"/>
          <w:szCs w:val="22"/>
        </w:rPr>
        <w:t xml:space="preserve">ater conservation, </w:t>
      </w:r>
      <w:r w:rsidR="00C017AE">
        <w:rPr>
          <w:rFonts w:hint="eastAsia"/>
          <w:i/>
          <w:iCs/>
          <w:color w:val="auto"/>
          <w:sz w:val="22"/>
          <w:szCs w:val="22"/>
        </w:rPr>
        <w:t>recyclable and/or non-polluting materials for manufacturing</w:t>
      </w:r>
      <w:r>
        <w:rPr>
          <w:i/>
          <w:iCs/>
          <w:color w:val="auto"/>
          <w:sz w:val="22"/>
          <w:szCs w:val="22"/>
        </w:rPr>
        <w:t xml:space="preserve">, </w:t>
      </w:r>
      <w:r w:rsidR="00C017AE">
        <w:rPr>
          <w:rFonts w:hint="eastAsia"/>
          <w:i/>
          <w:iCs/>
          <w:color w:val="auto"/>
          <w:sz w:val="22"/>
          <w:szCs w:val="22"/>
        </w:rPr>
        <w:t xml:space="preserve">and </w:t>
      </w:r>
      <w:r>
        <w:rPr>
          <w:i/>
          <w:iCs/>
          <w:color w:val="auto"/>
          <w:sz w:val="22"/>
          <w:szCs w:val="22"/>
        </w:rPr>
        <w:t xml:space="preserve">health and safety. </w:t>
      </w:r>
    </w:p>
    <w:p w:rsidR="00C017AE" w:rsidRDefault="00C017AE" w:rsidP="00C017AE">
      <w:pPr>
        <w:pStyle w:val="Default"/>
        <w:rPr>
          <w:color w:val="auto"/>
          <w:sz w:val="48"/>
          <w:szCs w:val="48"/>
        </w:rPr>
      </w:pPr>
      <w:r>
        <w:rPr>
          <w:color w:val="auto"/>
          <w:sz w:val="48"/>
          <w:szCs w:val="48"/>
        </w:rPr>
        <w:t xml:space="preserve">Our Commitment &amp; Scope </w:t>
      </w:r>
    </w:p>
    <w:p w:rsidR="00EC4BC0" w:rsidRPr="00C017AE" w:rsidRDefault="00EC4BC0" w:rsidP="00C017AE">
      <w:pPr>
        <w:pStyle w:val="Default"/>
        <w:rPr>
          <w:color w:val="auto"/>
          <w:sz w:val="48"/>
          <w:szCs w:val="48"/>
        </w:rPr>
      </w:pPr>
      <w:r>
        <w:rPr>
          <w:i/>
          <w:iCs/>
          <w:color w:val="auto"/>
          <w:sz w:val="22"/>
          <w:szCs w:val="22"/>
        </w:rPr>
        <w:t>This policy will apply to</w:t>
      </w:r>
      <w:r w:rsidR="00C017AE">
        <w:rPr>
          <w:i/>
          <w:iCs/>
          <w:color w:val="auto"/>
          <w:sz w:val="22"/>
          <w:szCs w:val="22"/>
        </w:rPr>
        <w:t xml:space="preserve"> all activities conducted</w:t>
      </w:r>
      <w:r w:rsidR="00C017AE">
        <w:rPr>
          <w:rFonts w:hint="eastAsia"/>
          <w:i/>
          <w:iCs/>
          <w:color w:val="auto"/>
          <w:sz w:val="22"/>
          <w:szCs w:val="22"/>
        </w:rPr>
        <w:t xml:space="preserve"> by and at Polywell</w:t>
      </w:r>
      <w:r>
        <w:rPr>
          <w:i/>
          <w:iCs/>
          <w:color w:val="auto"/>
          <w:sz w:val="22"/>
          <w:szCs w:val="22"/>
        </w:rPr>
        <w:t xml:space="preserve">. Staff and contractors are expected to uphold objectives under this policy to the fullest extent possible within prevailing budgets. </w:t>
      </w:r>
    </w:p>
    <w:p w:rsidR="00EC4BC0" w:rsidRDefault="00EC4BC0" w:rsidP="00EC4BC0">
      <w:pPr>
        <w:pStyle w:val="Default"/>
        <w:spacing w:after="227"/>
        <w:rPr>
          <w:color w:val="auto"/>
          <w:sz w:val="22"/>
          <w:szCs w:val="22"/>
        </w:rPr>
      </w:pPr>
      <w:r>
        <w:rPr>
          <w:i/>
          <w:iCs/>
          <w:color w:val="auto"/>
          <w:sz w:val="22"/>
          <w:szCs w:val="22"/>
        </w:rPr>
        <w:t>We acknowledge we have limited influence over third parties</w:t>
      </w:r>
      <w:r w:rsidR="005B1CC7">
        <w:rPr>
          <w:rFonts w:hint="eastAsia"/>
          <w:i/>
          <w:iCs/>
          <w:color w:val="auto"/>
          <w:sz w:val="22"/>
          <w:szCs w:val="22"/>
        </w:rPr>
        <w:t>, such as our vendors and outside contractors,</w:t>
      </w:r>
      <w:r>
        <w:rPr>
          <w:i/>
          <w:iCs/>
          <w:color w:val="auto"/>
          <w:sz w:val="22"/>
          <w:szCs w:val="22"/>
        </w:rPr>
        <w:t xml:space="preserve"> whose </w:t>
      </w:r>
      <w:r w:rsidR="00C017AE">
        <w:rPr>
          <w:rFonts w:hint="eastAsia"/>
          <w:i/>
          <w:iCs/>
          <w:color w:val="auto"/>
          <w:sz w:val="22"/>
          <w:szCs w:val="22"/>
        </w:rPr>
        <w:t xml:space="preserve">activities </w:t>
      </w:r>
      <w:r w:rsidR="00C017AE">
        <w:rPr>
          <w:i/>
          <w:iCs/>
          <w:color w:val="auto"/>
          <w:sz w:val="22"/>
          <w:szCs w:val="22"/>
        </w:rPr>
        <w:t>we cannot directly examine.</w:t>
      </w:r>
      <w:r w:rsidR="00C017AE">
        <w:rPr>
          <w:rFonts w:hint="eastAsia"/>
          <w:i/>
          <w:iCs/>
          <w:color w:val="auto"/>
          <w:sz w:val="22"/>
          <w:szCs w:val="22"/>
        </w:rPr>
        <w:t xml:space="preserve"> As such, we will request </w:t>
      </w:r>
      <w:r w:rsidR="00C017AE">
        <w:rPr>
          <w:i/>
          <w:iCs/>
          <w:color w:val="auto"/>
          <w:sz w:val="22"/>
          <w:szCs w:val="22"/>
        </w:rPr>
        <w:t>affidavits</w:t>
      </w:r>
      <w:r w:rsidR="00C017AE">
        <w:rPr>
          <w:rFonts w:hint="eastAsia"/>
          <w:i/>
          <w:iCs/>
          <w:color w:val="auto"/>
          <w:sz w:val="22"/>
          <w:szCs w:val="22"/>
        </w:rPr>
        <w:t xml:space="preserve"> and/or other forms of certification </w:t>
      </w:r>
      <w:r w:rsidR="005B1CC7">
        <w:rPr>
          <w:rFonts w:hint="eastAsia"/>
          <w:i/>
          <w:iCs/>
          <w:color w:val="auto"/>
          <w:sz w:val="22"/>
          <w:szCs w:val="22"/>
        </w:rPr>
        <w:t xml:space="preserve">to ensure that our policies stated herein and in our other corporate documents are understood and complied with. Our ultimate goal is to </w:t>
      </w:r>
      <w:r w:rsidR="005B1CC7">
        <w:rPr>
          <w:i/>
          <w:iCs/>
          <w:color w:val="auto"/>
          <w:sz w:val="22"/>
          <w:szCs w:val="22"/>
        </w:rPr>
        <w:t>eventually</w:t>
      </w:r>
      <w:r w:rsidR="005B1CC7">
        <w:rPr>
          <w:rFonts w:hint="eastAsia"/>
          <w:i/>
          <w:iCs/>
          <w:color w:val="auto"/>
          <w:sz w:val="22"/>
          <w:szCs w:val="22"/>
        </w:rPr>
        <w:t xml:space="preserve"> do business only with vendors who have submitted such affidavits. </w:t>
      </w:r>
      <w:r w:rsidR="005B1CC7">
        <w:rPr>
          <w:i/>
          <w:iCs/>
          <w:color w:val="auto"/>
          <w:sz w:val="22"/>
          <w:szCs w:val="22"/>
        </w:rPr>
        <w:t>In the</w:t>
      </w:r>
      <w:r w:rsidR="005B1CC7">
        <w:rPr>
          <w:rFonts w:hint="eastAsia"/>
          <w:i/>
          <w:iCs/>
          <w:color w:val="auto"/>
          <w:sz w:val="22"/>
          <w:szCs w:val="22"/>
        </w:rPr>
        <w:t xml:space="preserve"> meantime, </w:t>
      </w:r>
      <w:r>
        <w:rPr>
          <w:i/>
          <w:iCs/>
          <w:color w:val="auto"/>
          <w:sz w:val="22"/>
          <w:szCs w:val="22"/>
        </w:rPr>
        <w:t xml:space="preserve">we commit to educate them of our policy and encourage them to align operating practices with policy objectives. </w:t>
      </w:r>
    </w:p>
    <w:p w:rsidR="00EC4BC0" w:rsidRDefault="00EC4BC0" w:rsidP="00EC4BC0">
      <w:pPr>
        <w:pStyle w:val="Default"/>
        <w:rPr>
          <w:color w:val="auto"/>
          <w:sz w:val="22"/>
          <w:szCs w:val="22"/>
        </w:rPr>
      </w:pPr>
      <w:r>
        <w:rPr>
          <w:i/>
          <w:iCs/>
          <w:color w:val="auto"/>
          <w:sz w:val="22"/>
          <w:szCs w:val="22"/>
        </w:rPr>
        <w:t xml:space="preserve">Our attention to environmental, social and economic responsibility includes working within the law and voluntarily exceeding legal requirements in order to be innovative and demonstrate leadership on the issues that are important to us and our stakeholders. As we design experiences, execute events and evaluate our success we are able to choose every day in big and small ways how our actions and words build a better quality of life for our employees, clients, </w:t>
      </w:r>
      <w:r w:rsidR="005B1CC7">
        <w:rPr>
          <w:rFonts w:hint="eastAsia"/>
          <w:i/>
          <w:iCs/>
          <w:color w:val="auto"/>
          <w:sz w:val="22"/>
          <w:szCs w:val="22"/>
        </w:rPr>
        <w:t xml:space="preserve">vendors </w:t>
      </w:r>
      <w:r>
        <w:rPr>
          <w:i/>
          <w:iCs/>
          <w:color w:val="auto"/>
          <w:sz w:val="22"/>
          <w:szCs w:val="22"/>
        </w:rPr>
        <w:t xml:space="preserve">and suppliers. </w:t>
      </w:r>
    </w:p>
    <w:p w:rsidR="00EC4BC0" w:rsidRDefault="00EC4BC0" w:rsidP="00EC4BC0">
      <w:pPr>
        <w:pStyle w:val="Default"/>
        <w:pageBreakBefore/>
        <w:rPr>
          <w:color w:val="auto"/>
          <w:sz w:val="48"/>
          <w:szCs w:val="48"/>
        </w:rPr>
      </w:pPr>
      <w:r>
        <w:rPr>
          <w:color w:val="auto"/>
          <w:sz w:val="48"/>
          <w:szCs w:val="48"/>
        </w:rPr>
        <w:lastRenderedPageBreak/>
        <w:t xml:space="preserve">Objectives </w:t>
      </w:r>
    </w:p>
    <w:p w:rsidR="00EC4BC0" w:rsidRDefault="00EC4BC0" w:rsidP="00EC4BC0">
      <w:pPr>
        <w:pStyle w:val="Default"/>
        <w:rPr>
          <w:color w:val="auto"/>
          <w:sz w:val="22"/>
          <w:szCs w:val="22"/>
        </w:rPr>
      </w:pPr>
      <w:r>
        <w:rPr>
          <w:i/>
          <w:iCs/>
          <w:color w:val="auto"/>
          <w:sz w:val="22"/>
          <w:szCs w:val="22"/>
        </w:rPr>
        <w:t xml:space="preserve">We commit to: </w:t>
      </w:r>
    </w:p>
    <w:p w:rsidR="00EC4BC0" w:rsidRDefault="00EC4BC0" w:rsidP="00235AD7">
      <w:pPr>
        <w:pStyle w:val="Default"/>
        <w:numPr>
          <w:ilvl w:val="0"/>
          <w:numId w:val="2"/>
        </w:numPr>
        <w:rPr>
          <w:i/>
          <w:iCs/>
          <w:color w:val="auto"/>
          <w:sz w:val="22"/>
          <w:szCs w:val="22"/>
        </w:rPr>
      </w:pPr>
      <w:r>
        <w:rPr>
          <w:i/>
          <w:iCs/>
          <w:color w:val="auto"/>
          <w:sz w:val="22"/>
          <w:szCs w:val="22"/>
        </w:rPr>
        <w:t xml:space="preserve">Minimize environmental impacts in the areas of waste, water, energy and air quality. </w:t>
      </w:r>
    </w:p>
    <w:p w:rsidR="00235AD7" w:rsidRPr="00235AD7" w:rsidRDefault="00235AD7" w:rsidP="00EC4BC0">
      <w:pPr>
        <w:pStyle w:val="Default"/>
        <w:numPr>
          <w:ilvl w:val="0"/>
          <w:numId w:val="2"/>
        </w:numPr>
        <w:spacing w:after="18"/>
        <w:rPr>
          <w:i/>
          <w:iCs/>
          <w:color w:val="auto"/>
          <w:sz w:val="20"/>
          <w:szCs w:val="20"/>
        </w:rPr>
      </w:pPr>
      <w:r w:rsidRPr="00235AD7">
        <w:rPr>
          <w:rFonts w:hint="eastAsia"/>
          <w:i/>
          <w:iCs/>
          <w:color w:val="auto"/>
          <w:sz w:val="22"/>
          <w:szCs w:val="22"/>
        </w:rPr>
        <w:t xml:space="preserve">Reduce consumption of </w:t>
      </w:r>
      <w:r w:rsidR="00EC4BC0" w:rsidRPr="00235AD7">
        <w:rPr>
          <w:i/>
          <w:iCs/>
          <w:color w:val="auto"/>
          <w:sz w:val="22"/>
          <w:szCs w:val="22"/>
        </w:rPr>
        <w:t xml:space="preserve">kWh energy use at office: </w:t>
      </w:r>
      <w:r w:rsidRPr="00235AD7">
        <w:rPr>
          <w:rFonts w:hint="eastAsia"/>
          <w:i/>
          <w:iCs/>
          <w:color w:val="auto"/>
          <w:sz w:val="22"/>
          <w:szCs w:val="22"/>
        </w:rPr>
        <w:t xml:space="preserve"> </w:t>
      </w:r>
      <w:r w:rsidR="005B1CC7" w:rsidRPr="00235AD7">
        <w:rPr>
          <w:rFonts w:hint="eastAsia"/>
          <w:i/>
          <w:iCs/>
          <w:color w:val="auto"/>
          <w:sz w:val="22"/>
          <w:szCs w:val="22"/>
        </w:rPr>
        <w:t xml:space="preserve">Maintain levels of 2013, reduce 10% per sq ft by 2016 and 15% by 2020 (see </w:t>
      </w:r>
      <w:r w:rsidR="005B1CC7" w:rsidRPr="00235AD7">
        <w:rPr>
          <w:rFonts w:hint="eastAsia"/>
          <w:i/>
          <w:iCs/>
          <w:color w:val="auto"/>
          <w:sz w:val="22"/>
          <w:szCs w:val="22"/>
          <w:u w:val="single"/>
        </w:rPr>
        <w:t>Polywell Energy Policy</w:t>
      </w:r>
      <w:r w:rsidR="005B1CC7" w:rsidRPr="00235AD7">
        <w:rPr>
          <w:rFonts w:hint="eastAsia"/>
          <w:i/>
          <w:iCs/>
          <w:color w:val="auto"/>
          <w:sz w:val="22"/>
          <w:szCs w:val="22"/>
        </w:rPr>
        <w:t xml:space="preserve"> for details)</w:t>
      </w:r>
    </w:p>
    <w:p w:rsidR="00235AD7" w:rsidRPr="00235AD7" w:rsidRDefault="00235AD7" w:rsidP="00EC4BC0">
      <w:pPr>
        <w:pStyle w:val="Default"/>
        <w:numPr>
          <w:ilvl w:val="0"/>
          <w:numId w:val="2"/>
        </w:numPr>
        <w:spacing w:after="18"/>
        <w:rPr>
          <w:color w:val="auto"/>
          <w:sz w:val="22"/>
          <w:szCs w:val="22"/>
        </w:rPr>
      </w:pPr>
      <w:r w:rsidRPr="00235AD7">
        <w:rPr>
          <w:rFonts w:hint="eastAsia"/>
          <w:i/>
          <w:iCs/>
          <w:color w:val="auto"/>
          <w:sz w:val="22"/>
          <w:szCs w:val="22"/>
        </w:rPr>
        <w:t>Reduce waste and recycle whenever possible</w:t>
      </w:r>
      <w:r w:rsidR="00897ED0">
        <w:rPr>
          <w:rFonts w:hint="eastAsia"/>
          <w:i/>
          <w:iCs/>
          <w:color w:val="auto"/>
          <w:sz w:val="22"/>
          <w:szCs w:val="22"/>
        </w:rPr>
        <w:t xml:space="preserve">, and eliminate any extra </w:t>
      </w:r>
      <w:r w:rsidR="00897ED0">
        <w:rPr>
          <w:i/>
          <w:iCs/>
          <w:color w:val="auto"/>
          <w:sz w:val="22"/>
          <w:szCs w:val="22"/>
        </w:rPr>
        <w:t>garbage</w:t>
      </w:r>
      <w:r w:rsidR="00897ED0">
        <w:rPr>
          <w:rFonts w:hint="eastAsia"/>
          <w:i/>
          <w:iCs/>
          <w:color w:val="auto"/>
          <w:sz w:val="22"/>
          <w:szCs w:val="22"/>
        </w:rPr>
        <w:t xml:space="preserve"> collection outside of weekly minimum pickups by 2016</w:t>
      </w:r>
      <w:bookmarkStart w:id="0" w:name="_GoBack"/>
      <w:bookmarkEnd w:id="0"/>
      <w:r w:rsidRPr="00235AD7">
        <w:rPr>
          <w:rFonts w:hint="eastAsia"/>
          <w:i/>
          <w:iCs/>
          <w:color w:val="auto"/>
          <w:sz w:val="22"/>
          <w:szCs w:val="22"/>
        </w:rPr>
        <w:t xml:space="preserve"> (see Polywell Recycling Policy for details)</w:t>
      </w:r>
    </w:p>
    <w:p w:rsidR="00235AD7" w:rsidRPr="00235AD7" w:rsidRDefault="00EC4BC0" w:rsidP="00EC4BC0">
      <w:pPr>
        <w:pStyle w:val="Default"/>
        <w:numPr>
          <w:ilvl w:val="0"/>
          <w:numId w:val="2"/>
        </w:numPr>
        <w:spacing w:after="18"/>
        <w:rPr>
          <w:color w:val="auto"/>
          <w:sz w:val="22"/>
          <w:szCs w:val="22"/>
        </w:rPr>
      </w:pPr>
      <w:r w:rsidRPr="00235AD7">
        <w:rPr>
          <w:i/>
          <w:iCs/>
          <w:color w:val="auto"/>
          <w:sz w:val="22"/>
          <w:szCs w:val="22"/>
        </w:rPr>
        <w:t xml:space="preserve">Give back to communities by volunteering and donating resources. </w:t>
      </w:r>
    </w:p>
    <w:p w:rsidR="00235AD7" w:rsidRPr="00235AD7" w:rsidRDefault="00EC4BC0" w:rsidP="00EC4BC0">
      <w:pPr>
        <w:pStyle w:val="Default"/>
        <w:numPr>
          <w:ilvl w:val="0"/>
          <w:numId w:val="2"/>
        </w:numPr>
        <w:spacing w:after="18"/>
        <w:rPr>
          <w:color w:val="auto"/>
          <w:sz w:val="22"/>
          <w:szCs w:val="22"/>
        </w:rPr>
      </w:pPr>
      <w:r w:rsidRPr="00235AD7">
        <w:rPr>
          <w:i/>
          <w:iCs/>
          <w:color w:val="auto"/>
          <w:sz w:val="22"/>
          <w:szCs w:val="22"/>
        </w:rPr>
        <w:t xml:space="preserve">Ensure our supply chain has responsible social and environmental practices. </w:t>
      </w:r>
      <w:r w:rsidR="00235AD7" w:rsidRPr="00235AD7">
        <w:rPr>
          <w:rFonts w:hint="eastAsia"/>
          <w:color w:val="auto"/>
          <w:sz w:val="22"/>
          <w:szCs w:val="22"/>
        </w:rPr>
        <w:br/>
      </w:r>
      <w:r w:rsidRPr="00235AD7">
        <w:rPr>
          <w:i/>
          <w:iCs/>
          <w:color w:val="auto"/>
          <w:sz w:val="22"/>
          <w:szCs w:val="22"/>
        </w:rPr>
        <w:t>Percentage of vendors used who meet company mi</w:t>
      </w:r>
      <w:r w:rsidR="005B1CC7" w:rsidRPr="00235AD7">
        <w:rPr>
          <w:i/>
          <w:iCs/>
          <w:color w:val="auto"/>
          <w:sz w:val="22"/>
          <w:szCs w:val="22"/>
        </w:rPr>
        <w:t>nimum sustainability guidelines</w:t>
      </w:r>
      <w:r w:rsidR="005B1CC7" w:rsidRPr="00235AD7">
        <w:rPr>
          <w:rFonts w:hint="eastAsia"/>
          <w:i/>
          <w:iCs/>
          <w:color w:val="auto"/>
          <w:sz w:val="22"/>
          <w:szCs w:val="22"/>
        </w:rPr>
        <w:t>:</w:t>
      </w:r>
      <w:r w:rsidR="005B1CC7" w:rsidRPr="00235AD7">
        <w:rPr>
          <w:i/>
          <w:iCs/>
          <w:color w:val="auto"/>
          <w:sz w:val="22"/>
          <w:szCs w:val="22"/>
        </w:rPr>
        <w:t xml:space="preserve"> </w:t>
      </w:r>
      <w:r w:rsidR="00235AD7" w:rsidRPr="00235AD7">
        <w:rPr>
          <w:rFonts w:hint="eastAsia"/>
          <w:i/>
          <w:iCs/>
          <w:color w:val="auto"/>
          <w:sz w:val="22"/>
          <w:szCs w:val="22"/>
        </w:rPr>
        <w:br/>
      </w:r>
      <w:r w:rsidRPr="00235AD7">
        <w:rPr>
          <w:i/>
          <w:iCs/>
          <w:color w:val="auto"/>
          <w:sz w:val="22"/>
          <w:szCs w:val="22"/>
        </w:rPr>
        <w:t>75% of vendors</w:t>
      </w:r>
      <w:r w:rsidR="005B1CC7" w:rsidRPr="00235AD7">
        <w:rPr>
          <w:rFonts w:hint="eastAsia"/>
          <w:i/>
          <w:iCs/>
          <w:color w:val="auto"/>
          <w:sz w:val="22"/>
          <w:szCs w:val="22"/>
        </w:rPr>
        <w:t xml:space="preserve"> by 2016, </w:t>
      </w:r>
      <w:r w:rsidR="00235AD7" w:rsidRPr="00235AD7">
        <w:rPr>
          <w:i/>
          <w:iCs/>
          <w:color w:val="auto"/>
          <w:sz w:val="22"/>
          <w:szCs w:val="22"/>
        </w:rPr>
        <w:br/>
      </w:r>
      <w:r w:rsidR="005B1CC7" w:rsidRPr="00235AD7">
        <w:rPr>
          <w:rFonts w:hint="eastAsia"/>
          <w:i/>
          <w:iCs/>
          <w:color w:val="auto"/>
          <w:sz w:val="22"/>
          <w:szCs w:val="22"/>
        </w:rPr>
        <w:t>85% by 2020.</w:t>
      </w:r>
    </w:p>
    <w:p w:rsidR="00EC4BC0" w:rsidRPr="00235AD7" w:rsidRDefault="00EC4BC0" w:rsidP="00EC4BC0">
      <w:pPr>
        <w:pStyle w:val="Default"/>
        <w:numPr>
          <w:ilvl w:val="0"/>
          <w:numId w:val="2"/>
        </w:numPr>
        <w:spacing w:after="18"/>
        <w:rPr>
          <w:color w:val="auto"/>
          <w:sz w:val="22"/>
          <w:szCs w:val="22"/>
        </w:rPr>
      </w:pPr>
      <w:r w:rsidRPr="00235AD7">
        <w:rPr>
          <w:i/>
          <w:iCs/>
          <w:color w:val="auto"/>
          <w:sz w:val="22"/>
          <w:szCs w:val="22"/>
        </w:rPr>
        <w:t>Create innovative approaches to minimize negative environmental impact</w:t>
      </w:r>
      <w:r w:rsidR="005B1CC7" w:rsidRPr="00235AD7">
        <w:rPr>
          <w:rFonts w:hint="eastAsia"/>
          <w:i/>
          <w:iCs/>
          <w:color w:val="auto"/>
          <w:sz w:val="22"/>
          <w:szCs w:val="22"/>
        </w:rPr>
        <w:t>s</w:t>
      </w:r>
      <w:r w:rsidRPr="00235AD7">
        <w:rPr>
          <w:i/>
          <w:iCs/>
          <w:color w:val="auto"/>
          <w:sz w:val="22"/>
          <w:szCs w:val="22"/>
        </w:rPr>
        <w:t xml:space="preserve">. </w:t>
      </w:r>
    </w:p>
    <w:p w:rsidR="00EC4BC0" w:rsidRDefault="00EC4BC0" w:rsidP="00EC4BC0">
      <w:pPr>
        <w:pStyle w:val="Default"/>
        <w:rPr>
          <w:color w:val="auto"/>
          <w:sz w:val="22"/>
          <w:szCs w:val="22"/>
        </w:rPr>
      </w:pPr>
    </w:p>
    <w:p w:rsidR="00EC4BC0" w:rsidRDefault="00EC4BC0" w:rsidP="00EC4BC0">
      <w:pPr>
        <w:pStyle w:val="Default"/>
        <w:rPr>
          <w:color w:val="auto"/>
          <w:sz w:val="48"/>
          <w:szCs w:val="48"/>
        </w:rPr>
      </w:pPr>
      <w:r>
        <w:rPr>
          <w:color w:val="auto"/>
          <w:sz w:val="48"/>
          <w:szCs w:val="48"/>
        </w:rPr>
        <w:t xml:space="preserve">Reporting </w:t>
      </w:r>
    </w:p>
    <w:p w:rsidR="00EC4BC0" w:rsidRDefault="00EC4BC0" w:rsidP="00EC4BC0">
      <w:pPr>
        <w:pStyle w:val="Default"/>
        <w:spacing w:after="18"/>
        <w:rPr>
          <w:color w:val="auto"/>
          <w:sz w:val="22"/>
          <w:szCs w:val="22"/>
        </w:rPr>
      </w:pPr>
      <w:r>
        <w:rPr>
          <w:i/>
          <w:iCs/>
          <w:color w:val="auto"/>
          <w:sz w:val="22"/>
          <w:szCs w:val="22"/>
        </w:rPr>
        <w:t xml:space="preserve">1. We will </w:t>
      </w:r>
      <w:r w:rsidR="005B1CC7">
        <w:rPr>
          <w:rFonts w:hint="eastAsia"/>
          <w:i/>
          <w:iCs/>
          <w:color w:val="auto"/>
          <w:sz w:val="22"/>
          <w:szCs w:val="22"/>
        </w:rPr>
        <w:t xml:space="preserve">create and maintain a </w:t>
      </w:r>
      <w:r>
        <w:rPr>
          <w:i/>
          <w:iCs/>
          <w:color w:val="auto"/>
          <w:sz w:val="22"/>
          <w:szCs w:val="22"/>
        </w:rPr>
        <w:t>report on our progress against these goals once per year</w:t>
      </w:r>
      <w:r w:rsidR="005B1CC7">
        <w:rPr>
          <w:rFonts w:hint="eastAsia"/>
          <w:i/>
          <w:iCs/>
          <w:color w:val="auto"/>
          <w:sz w:val="22"/>
          <w:szCs w:val="22"/>
        </w:rPr>
        <w:t xml:space="preserve"> by the end of each fiscal year</w:t>
      </w:r>
      <w:r>
        <w:rPr>
          <w:i/>
          <w:iCs/>
          <w:color w:val="auto"/>
          <w:sz w:val="22"/>
          <w:szCs w:val="22"/>
        </w:rPr>
        <w:t xml:space="preserve">. </w:t>
      </w:r>
    </w:p>
    <w:p w:rsidR="00EC4BC0" w:rsidRDefault="00EC4BC0" w:rsidP="00EC4BC0">
      <w:pPr>
        <w:pStyle w:val="Default"/>
        <w:spacing w:after="18"/>
        <w:rPr>
          <w:color w:val="auto"/>
          <w:sz w:val="22"/>
          <w:szCs w:val="22"/>
        </w:rPr>
      </w:pPr>
      <w:r>
        <w:rPr>
          <w:i/>
          <w:iCs/>
          <w:color w:val="auto"/>
          <w:sz w:val="22"/>
          <w:szCs w:val="22"/>
        </w:rPr>
        <w:t xml:space="preserve">2. Internal senior reviews will be held at least once per year. </w:t>
      </w:r>
    </w:p>
    <w:p w:rsidR="005B1CC7" w:rsidRDefault="00EC4BC0" w:rsidP="00EC4BC0">
      <w:pPr>
        <w:pStyle w:val="Default"/>
        <w:rPr>
          <w:i/>
          <w:iCs/>
          <w:color w:val="auto"/>
          <w:sz w:val="22"/>
          <w:szCs w:val="22"/>
        </w:rPr>
      </w:pPr>
      <w:r>
        <w:rPr>
          <w:i/>
          <w:iCs/>
          <w:color w:val="auto"/>
          <w:sz w:val="22"/>
          <w:szCs w:val="22"/>
        </w:rPr>
        <w:t xml:space="preserve">3. </w:t>
      </w:r>
      <w:r w:rsidR="005B1CC7">
        <w:rPr>
          <w:rFonts w:hint="eastAsia"/>
          <w:i/>
          <w:iCs/>
          <w:color w:val="auto"/>
          <w:sz w:val="22"/>
          <w:szCs w:val="22"/>
        </w:rPr>
        <w:t>Manager in charge of this Policy:</w:t>
      </w:r>
    </w:p>
    <w:p w:rsidR="00235AD7" w:rsidRDefault="005B1CC7" w:rsidP="005B1CC7">
      <w:pPr>
        <w:rPr>
          <w:rFonts w:ascii="Calibri" w:hAnsi="Calibri"/>
          <w:sz w:val="14"/>
        </w:rPr>
      </w:pPr>
      <w:r>
        <w:rPr>
          <w:rFonts w:ascii="Calibri" w:hAnsi="Calibri" w:cs="CartoGothicStd-Book" w:hint="eastAsia"/>
          <w:kern w:val="0"/>
          <w:szCs w:val="30"/>
        </w:rPr>
        <w:t>This policy shall be enforced and monitored by Jenny Lin.</w:t>
      </w: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Pr="00235AD7" w:rsidRDefault="00235AD7" w:rsidP="00235AD7">
      <w:pPr>
        <w:rPr>
          <w:rFonts w:ascii="Calibri" w:hAnsi="Calibri"/>
          <w:sz w:val="14"/>
        </w:rPr>
      </w:pPr>
    </w:p>
    <w:p w:rsidR="00235AD7" w:rsidRDefault="00235AD7" w:rsidP="00235AD7">
      <w:pPr>
        <w:rPr>
          <w:rFonts w:ascii="Calibri" w:hAnsi="Calibri"/>
          <w:sz w:val="14"/>
        </w:rPr>
      </w:pPr>
    </w:p>
    <w:p w:rsidR="005B1CC7" w:rsidRPr="00235AD7" w:rsidRDefault="00235AD7" w:rsidP="00235AD7">
      <w:pPr>
        <w:ind w:firstLineChars="100" w:firstLine="160"/>
        <w:rPr>
          <w:rFonts w:ascii="Calibri" w:hAnsi="Calibri"/>
          <w:sz w:val="16"/>
        </w:rPr>
      </w:pPr>
      <w:r w:rsidRPr="00235AD7">
        <w:rPr>
          <w:rFonts w:ascii="Calibri" w:hAnsi="Calibri" w:hint="eastAsia"/>
          <w:sz w:val="16"/>
        </w:rPr>
        <w:t>Revised 12/01/2015 by K.Matsui</w:t>
      </w:r>
    </w:p>
    <w:sectPr w:rsidR="005B1CC7" w:rsidRPr="00235AD7" w:rsidSect="004B30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rtoGothicStd-Book">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9E4"/>
    <w:multiLevelType w:val="hybridMultilevel"/>
    <w:tmpl w:val="22CC58FE"/>
    <w:lvl w:ilvl="0" w:tplc="B65EDEA0">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916EEF"/>
    <w:multiLevelType w:val="hybridMultilevel"/>
    <w:tmpl w:val="EC1A5B54"/>
    <w:lvl w:ilvl="0" w:tplc="89809BC2">
      <w:numFmt w:val="bullet"/>
      <w:lvlText w:val="-"/>
      <w:lvlJc w:val="left"/>
      <w:pPr>
        <w:ind w:left="360" w:hanging="360"/>
      </w:pPr>
      <w:rPr>
        <w:rFonts w:ascii="Calibri" w:eastAsiaTheme="minorEastAsia" w:hAnsi="Calibri" w:cs="CartoGothicStd-Book"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9B"/>
    <w:rsid w:val="000A5FEE"/>
    <w:rsid w:val="00235AD7"/>
    <w:rsid w:val="002A6E75"/>
    <w:rsid w:val="004B304B"/>
    <w:rsid w:val="005B1CC7"/>
    <w:rsid w:val="00897ED0"/>
    <w:rsid w:val="00934E80"/>
    <w:rsid w:val="00C017AE"/>
    <w:rsid w:val="00C5014A"/>
    <w:rsid w:val="00D44C9B"/>
    <w:rsid w:val="00E24510"/>
    <w:rsid w:val="00EC4BC0"/>
    <w:rsid w:val="00FE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10"/>
    <w:pPr>
      <w:ind w:leftChars="400" w:left="840"/>
    </w:pPr>
  </w:style>
  <w:style w:type="paragraph" w:customStyle="1" w:styleId="Default">
    <w:name w:val="Default"/>
    <w:rsid w:val="00EC4BC0"/>
    <w:pPr>
      <w:widowControl w:val="0"/>
      <w:autoSpaceDE w:val="0"/>
      <w:autoSpaceDN w:val="0"/>
      <w:adjustRightInd w:val="0"/>
    </w:pPr>
    <w:rPr>
      <w:rFonts w:ascii="Calibri"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10"/>
    <w:pPr>
      <w:ind w:leftChars="400" w:left="840"/>
    </w:pPr>
  </w:style>
  <w:style w:type="paragraph" w:customStyle="1" w:styleId="Default">
    <w:name w:val="Default"/>
    <w:rsid w:val="00EC4BC0"/>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Katz</cp:lastModifiedBy>
  <cp:revision>6</cp:revision>
  <dcterms:created xsi:type="dcterms:W3CDTF">2015-12-10T13:28:00Z</dcterms:created>
  <dcterms:modified xsi:type="dcterms:W3CDTF">2015-12-22T16:20:00Z</dcterms:modified>
</cp:coreProperties>
</file>